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Информация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во вопросу о</w:t>
      </w:r>
      <w:r>
        <w:rPr>
          <w:rFonts w:ascii="Times New Roman" w:hAnsi="Times New Roman"/>
          <w:b/>
          <w:color w:val="000000"/>
          <w:sz w:val="28"/>
        </w:rPr>
        <w:t xml:space="preserve"> необходимости внесения изменений в постановление Правительства Российской Федерации от 23.02.2018 № 190, в части дополнения перечня приоритетных инвестиционных проектов в области освоения лесов проектами, связанными с рекреационной деятельностью, направленной на развитие туристической инфраструктуры в лесном фонде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highlight w:val="white"/>
        </w:rPr>
        <w:t>Протоколами Инвестиционного комитета Камчатского края от 16.01.2024</w:t>
        <w:br/>
        <w:t xml:space="preserve"> № Пр-01-12 и от 26.12.2024 № Пр-01-530 утверждены планы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  <w:t>заседаний Инвестиционного комитета Камчатского края на 2024 и 2025 год соответственно, в рамках которых Министерством туризма Камчатского края (далее – Минтуризм Камчатского края) дважды инициирован вопрос о необходимости внесения изменений в постановление Правительства Российской Федерации от 23.02.2018</w:t>
        <w:br/>
        <w:t xml:space="preserve">№ 190 «О приоритетных инвестиционных проектах в целях развития лесного комплекса и об изменении и признании утратившими силу некоторых актов Правительства Российской Федерации» в части дополнения перечня приоритетных инвестиционных проектов в области освоения лесов проектами, связанными с рекреационной деятельностью, направленной на развитие туристической инфраструктуры в лесном фонде.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  <w:t>Воп</w:t>
      </w:r>
      <w:r>
        <w:rPr>
          <w:rFonts w:ascii="Times New Roman" w:hAnsi="Times New Roman"/>
          <w:sz w:val="28"/>
        </w:rPr>
        <w:t>рос до настоящего времени не рассматривался.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 В то же время, по мнению отраслевого исполнительного органа Камчатского края, он остается актуальным, что обусловлено </w:t>
      </w:r>
      <w:r>
        <w:rPr>
          <w:rFonts w:ascii="Times New Roman" w:hAnsi="Times New Roman"/>
          <w:sz w:val="28"/>
        </w:rPr>
        <w:t xml:space="preserve">неоднократно поступающими в Минтуризм Камчатского края запросами с инициативами от потенциальных инвесторов и субъектов малого и среднего предпринимательства о намерениях развития гостиничной инфраструктуры в лесном фонде в рамках масштабного инвестиционного проекта.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подпунктом 3 пункта 2 статьи 39.6 Земельного Кодекса Российской Федерации (далее – ЗК РФ) договор аренды земельного участка, находящегося в государственной или муниципальной собственности, заключается без проведения торгов, в том числе в случае предоставления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Федерации.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определения предоставления мер государственной поддержки инвестиционной деятельности в Камчатском крае (в том числе получения статуса масштабного инвестиционного проекта) утвержден постановлением Правительства Камчатского края от 14.06.2023 № 326-П.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Законом Камчатского края от 16.12.2022 № 162 «О государственной поддержке инвестиционной деятельности» закреплены виды экономической деятельности, в рамках которых возможно получение определенного статуса для получения мер государственной поддержки (в том числе масштабного инвестиционного проекта), среди которых имеются направления «Деятельность гостиниц и прочих мест для временного проживания» и отдельно «Лесоводство и лесозаготовки».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Вместе с тем, статьей 9 Лесного кодекса Российской Федерации</w:t>
        <w:br/>
        <w:t> (далее – ЛК РФ) предусмотрено, что право аренды лесного участка возникает и  прекращается по основаниям и в порядке, которые предусмотрены гражданским законодательством, Земельным кодексом Российской Федерации, если иное не установлено ЛК РФ. Статья 73.1 ЛК РФ устанавливает, что в целях реализации основных принципов лесного законодательства разработаны различные механизмы предоставления лесных участков в аренду: по результатам открытого аукциона, открытого конкурса и без проведения торгов, в том числе в случае реализации приоритетных инвестиционных проектов в области освоения лесов (далее – инвестпроект).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Инвестиционная деятельность в области освоения лесов предусмотрена статьей 22 ЛК РФ. В рамках реализации абзаца 3 статьи 22 ЛК РФ Постановлением Правительства Российской Федерации от 23.02.2018 № 190 «О приоритетных инвестиционных проектах в целях развития лесного комплекса и об изменении и признании утратившими силу некоторых актов Правительства Российской Федерации» утверждены Правила утверждения перечня приоритетных инвестиционных проектов в целях развития лесного комплекса, включения в данный перечень и исключения из него таких инвестиционных проектов (далее – Правила).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Согласно части 2 Правил к инвестпроектам относятся: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проекты по модернизации объектов лесоперерабатывающей инфраструктуры;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проекты по созданию объектов лесной инфраструктуры и лесоперерабатывающей инфраструктуры.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Таким образом, положения Лесного кодекса РФ не предусматривают возможности предоставления лесного участка в аренду без проведения торгов для реализации масштабных инвестиционных проектов, в порядке предусмотренном подпунктом 2 пункта 2 статьи 39.6 ЗК РФ.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Минтуризм Камчатского края полагает целесообразным рассмотреть вопрос о подготовке предложений о внесении изменений в Правила, дополнив перечень приоритетных инвестиционных проектов в области освоения лесов проектами, связанными с рекреационной деятельностью, направленной на развитие туристической инфраструктуры в лесном фонде и предлагает изменить некоторые структурные единицы действующего правового регулирования, направленного на развитие инвестиционной деятельности в Лесном фонде, в частности:</w:t>
      </w:r>
    </w:p>
    <w:p>
      <w:pPr>
        <w:pStyle w:val="BodyText"/>
        <w:widowControl w:val="false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hanging="0" w:left="709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Наименование Правил изложить в следующей редакции:</w:t>
      </w:r>
    </w:p>
    <w:p>
      <w:pPr>
        <w:pStyle w:val="BodyText"/>
        <w:spacing w:lineRule="auto" w:line="240" w:before="0" w:after="0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«Правила утверждения перечня </w:t>
      </w:r>
      <w:r>
        <w:rPr>
          <w:rFonts w:ascii="Times New Roman" w:hAnsi="Times New Roman"/>
          <w:b/>
          <w:sz w:val="28"/>
        </w:rPr>
        <w:t>масштабных</w:t>
      </w:r>
      <w:r>
        <w:rPr>
          <w:rFonts w:ascii="Times New Roman" w:hAnsi="Times New Roman"/>
          <w:sz w:val="28"/>
        </w:rPr>
        <w:t xml:space="preserve"> инвестиционных проектов в целях развития лесного комплекса и туристско-рекреационного потенциала, включения в данный перечень и исключения из него таких инвестиционных проектов».</w:t>
      </w:r>
    </w:p>
    <w:p>
      <w:pPr>
        <w:pStyle w:val="BodyText"/>
        <w:spacing w:lineRule="auto" w:line="240" w:before="0" w:after="0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Пункт 2 статьи 2 Правил дополнить подпунктом «в» следующего содержания: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«в) создание проектов, направленных на развитие туристско-рекреационного потенциала».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лесного и охотничьего хозяйства Камчатского края заявило об отсутствии возражений по данному вопросу и дополнительно пояснило, что в соответствии с Положением о Федеральном агентстве лесного хозяйства (далее – Рослесхоз), утвержденным постановлением Правительства Российской Федерации от 02.09.2010 № 736, Рослесхоз осуществляет следующие полномочия в установленной сфере деятельности: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согласование заявок на реализацию инвестиционных проектов в области освоения лесов;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предоставление лесных участков, расположенных на землях лесного фонда, для реализации приоритетных инвестиционных проектов в целях развития лесного комплекса;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проведение государственной экспертизы проектов освоения лесов, расположенных на землях лесного фонда, в отношении лесных участков, предоставленных для реализации приоритетных инвестиционных проектов в целях развития лесного комплекса.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принятия предлагаемых к рассмотрению на Инвестиционном комитете Камчатского края изменений в Постановление № 190, потребуется дополнить перечисленные выше пункты, указанные в Положении о Рослесхозе, словами «и туристической инфраструктуры».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Также для правового регулирования потребуется внести изменения в нормативные правовые акты в сфере лесных отношений, в частности: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Лесной кодекс Российской Федерации: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статью 22 «Инвестиционная деятельность в целях развития лесного комплекса» дополнить частью 2.1 устанавливающей положения об инвестиционной деятельности, направленной на развитие туристической инфраструктуры;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в части 3.1 статьи 72 «Договор аренды лесного участка, находящегося в государственной или муниципальной собственности» после слов «лесного комплекса» дополнить словами «и туристической инфраструктуры»;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в пункте 2 части 3 статьи 73.1 «Заключение договора аренды лесного участка, находящегося в государственной или муниципальной собственности» после слов «лесного комплекса» дополнить словами «и туристической инфраструктуры»;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пункт 1(1) постановления Правительства Российской Федерации</w:t>
        <w:br/>
        <w:t> от 22.05.2007 № 310 «О ставках платы за единицу объема лесных ресурсов и ставках платы за единицу площади лесного участка, находящегося в федеральной собственности» дополнить абзацем, содержащим критерии применения понижающего коэффициента 0,5 к ставкам платы за единицу площади лесного участка для развития туристической инфраструктуры в рамках инвестиционного проекта;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пункт 5 Перечня некапитальных строений, сооружений, не связанных с созданием лесной инфраструктуры, для защитных лесов, эксплуатационных лесов, резервных лесов», утвержденный распоряжением Правительства Российской Федерации от 23.04.2022 № 999-р, дополнить перечнем некапитальных нестационарных сооружений для проживания туристов, иных строений, сооружений (изгородь, забор);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пункт 5 Перечня объектов капитального строительства, не связанных с созданием лесной инфраструктуры, для защитных лесов, эксплуатационных лесов, резервных лесов, утвержденный распоряжением Правительства Российской Федерации от 30.04.2022 № 1084-р «Об утверждении» дополнить отсутствующими в перечне объектов для защитных лесов следующими объектами – гостиница, культурный центр, визит-центр, иными объектами.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связи с изложенным на заседании Инвестиционного комитета Камчатского края необходимо обсудить целесообразность внесения указанных изменений</w:t>
      </w:r>
      <w:r>
        <w:rPr>
          <w:rFonts w:ascii="Times New Roman" w:hAnsi="Times New Roman"/>
          <w:sz w:val="28"/>
          <w:szCs w:val="28"/>
        </w:rPr>
        <w:t>.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567" w:gutter="0" w:header="567" w:top="1126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XO Thames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sz w:val="24"/>
        <w:rFonts w:ascii="Times New Roman" w:hAnsi="Times New Roman"/>
      </w:rPr>
      <w:instrText xml:space="preserve"> PAGE </w:instrText>
    </w:r>
    <w:r>
      <w:rPr>
        <w:sz w:val="24"/>
        <w:rFonts w:ascii="Times New Roman" w:hAnsi="Times New Roman"/>
      </w:rPr>
      <w:fldChar w:fldCharType="separate"/>
    </w:r>
    <w:r>
      <w:rPr>
        <w:sz w:val="24"/>
        <w:rFonts w:ascii="Times New Roman" w:hAnsi="Times New Roman"/>
      </w:rPr>
      <w:t>4</w:t>
    </w:r>
    <w:r>
      <w:rPr>
        <w:sz w:val="24"/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0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Style9">
    <w:name w:val="Содержимое таблицы"/>
    <w:link w:val="17"/>
    <w:qFormat/>
    <w:rPr/>
  </w:style>
  <w:style w:type="character" w:styleId="Contents2">
    <w:name w:val="Contents 2"/>
    <w:qFormat/>
    <w:rPr>
      <w:rFonts w:ascii="XO Thames" w:hAnsi="XO Thames"/>
      <w:color w:val="000000"/>
      <w:sz w:val="28"/>
    </w:rPr>
  </w:style>
  <w:style w:type="character" w:styleId="Contents4">
    <w:name w:val="Contents 4"/>
    <w:qFormat/>
    <w:rPr>
      <w:rFonts w:ascii="XO Thames" w:hAnsi="XO Thames"/>
      <w:color w:val="000000"/>
      <w:sz w:val="28"/>
    </w:rPr>
  </w:style>
  <w:style w:type="character" w:styleId="Contents6">
    <w:name w:val="Contents 6"/>
    <w:qFormat/>
    <w:rPr>
      <w:rFonts w:ascii="XO Thames" w:hAnsi="XO Thames"/>
      <w:color w:val="000000"/>
      <w:sz w:val="28"/>
    </w:rPr>
  </w:style>
  <w:style w:type="character" w:styleId="Contents7">
    <w:name w:val="Contents 7"/>
    <w:qFormat/>
    <w:rPr>
      <w:rFonts w:ascii="XO Thames" w:hAnsi="XO Thames"/>
      <w:color w:val="000000"/>
      <w:sz w:val="28"/>
    </w:rPr>
  </w:style>
  <w:style w:type="character" w:styleId="3">
    <w:name w:val="Заголовок 3 Знак"/>
    <w:link w:val="311"/>
    <w:qFormat/>
    <w:rPr>
      <w:rFonts w:ascii="XO Thames" w:hAnsi="XO Thames"/>
      <w:b/>
      <w:sz w:val="26"/>
    </w:rPr>
  </w:style>
  <w:style w:type="character" w:styleId="ConsPlusNonformat">
    <w:name w:val="ConsPlusNonformat"/>
    <w:link w:val="ConsPlusNonformat1"/>
    <w:qFormat/>
    <w:rPr>
      <w:rFonts w:ascii="Courier New" w:hAnsi="Courier New"/>
      <w:b w:val="false"/>
      <w:i w:val="false"/>
      <w:strike w:val="false"/>
      <w:dstrike w:val="false"/>
      <w:color w:val="000000"/>
      <w:sz w:val="20"/>
      <w:u w:val="none"/>
    </w:rPr>
  </w:style>
  <w:style w:type="character" w:styleId="Style10">
    <w:name w:val="Подзаголовок Знак"/>
    <w:link w:val="18"/>
    <w:qFormat/>
    <w:rPr>
      <w:rFonts w:ascii="XO Thames" w:hAnsi="XO Thames"/>
      <w:i/>
      <w:sz w:val="24"/>
    </w:rPr>
  </w:style>
  <w:style w:type="character" w:styleId="Style11">
    <w:name w:val="Верхний колонтитул Знак"/>
    <w:basedOn w:val="13"/>
    <w:link w:val="19"/>
    <w:qFormat/>
    <w:rPr/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>
      <w:rFonts w:ascii="XO Thames" w:hAnsi="XO Thames"/>
      <w:b/>
      <w:color w:val="000000"/>
      <w:sz w:val="26"/>
    </w:rPr>
  </w:style>
  <w:style w:type="character" w:styleId="HeaderandFooter1">
    <w:name w:val="Header and Footer1"/>
    <w:link w:val="HeaderandFooter11"/>
    <w:qFormat/>
    <w:rPr/>
  </w:style>
  <w:style w:type="character" w:styleId="Footnote1">
    <w:name w:val="Footnote1"/>
    <w:link w:val="Footnote11"/>
    <w:qFormat/>
    <w:rPr>
      <w:rFonts w:ascii="XO Thames" w:hAnsi="XO Thames"/>
      <w:color w:val="000000"/>
      <w:sz w:val="22"/>
    </w:rPr>
  </w:style>
  <w:style w:type="character" w:styleId="8">
    <w:name w:val="Оглавление 8 Знак"/>
    <w:link w:val="81"/>
    <w:qFormat/>
    <w:rPr>
      <w:rFonts w:ascii="XO Thames" w:hAnsi="XO Thames"/>
      <w:sz w:val="28"/>
    </w:rPr>
  </w:style>
  <w:style w:type="character" w:styleId="1">
    <w:name w:val="Оглавление 1 Знак"/>
    <w:link w:val="113"/>
    <w:qFormat/>
    <w:rPr>
      <w:rFonts w:ascii="XO Thames" w:hAnsi="XO Thames"/>
      <w:b/>
      <w:sz w:val="28"/>
    </w:rPr>
  </w:style>
  <w:style w:type="character" w:styleId="11">
    <w:name w:val="Гиперссылка1"/>
    <w:basedOn w:val="12"/>
    <w:link w:val="114"/>
    <w:qFormat/>
    <w:rPr>
      <w:color w:themeColor="hyperlink" w:val="0563C1"/>
      <w:u w:val="single"/>
    </w:rPr>
  </w:style>
  <w:style w:type="character" w:styleId="List1">
    <w:name w:val="List1"/>
    <w:basedOn w:val="Textbody"/>
    <w:qFormat/>
    <w:rPr/>
  </w:style>
  <w:style w:type="character" w:styleId="2">
    <w:name w:val="Оглавление 2 Знак"/>
    <w:link w:val="211"/>
    <w:qFormat/>
    <w:rPr>
      <w:rFonts w:ascii="XO Thames" w:hAnsi="XO Thames"/>
      <w:sz w:val="28"/>
    </w:rPr>
  </w:style>
  <w:style w:type="character" w:styleId="21">
    <w:name w:val="Заголовок 2 Знак"/>
    <w:link w:val="212"/>
    <w:qFormat/>
    <w:rPr>
      <w:rFonts w:ascii="XO Thames" w:hAnsi="XO Thames"/>
      <w:b/>
      <w:sz w:val="28"/>
    </w:rPr>
  </w:style>
  <w:style w:type="character" w:styleId="Style12">
    <w:name w:val="Заголовок"/>
    <w:link w:val="1111"/>
    <w:qFormat/>
    <w:rPr>
      <w:rFonts w:ascii="Liberation Sans" w:hAnsi="Liberation Sans"/>
      <w:sz w:val="28"/>
    </w:rPr>
  </w:style>
  <w:style w:type="character" w:styleId="4">
    <w:name w:val="Заголовок 4 Знак"/>
    <w:link w:val="411"/>
    <w:qFormat/>
    <w:rPr>
      <w:rFonts w:ascii="XO Thames" w:hAnsi="XO Thames"/>
      <w:b/>
      <w:sz w:val="24"/>
    </w:rPr>
  </w:style>
  <w:style w:type="character" w:styleId="FollowedHyperlink">
    <w:name w:val="FollowedHyperlink"/>
    <w:rPr>
      <w:color w:val="800000"/>
      <w:u w:val="single"/>
    </w:rPr>
  </w:style>
  <w:style w:type="character" w:styleId="Style13">
    <w:name w:val="Заголовок таблицы"/>
    <w:basedOn w:val="Style9"/>
    <w:link w:val="110"/>
    <w:qFormat/>
    <w:rPr>
      <w:b/>
    </w:rPr>
  </w:style>
  <w:style w:type="character" w:styleId="Footer1">
    <w:name w:val="Footer1"/>
    <w:qFormat/>
    <w:rPr>
      <w:rFonts w:ascii="Times New Roman" w:hAnsi="Times New Roman"/>
      <w:sz w:val="28"/>
    </w:rPr>
  </w:style>
  <w:style w:type="character" w:styleId="5">
    <w:name w:val="Заголовок 5 Знак"/>
    <w:link w:val="511"/>
    <w:qFormat/>
    <w:rPr>
      <w:rFonts w:ascii="XO Thames" w:hAnsi="XO Thames"/>
      <w:b/>
      <w:sz w:val="22"/>
    </w:rPr>
  </w:style>
  <w:style w:type="character" w:styleId="7">
    <w:name w:val="Оглавление 7 Знак"/>
    <w:link w:val="71"/>
    <w:qFormat/>
    <w:rPr>
      <w:rFonts w:ascii="XO Thames" w:hAnsi="XO Thames"/>
      <w:sz w:val="28"/>
    </w:rPr>
  </w:style>
  <w:style w:type="character" w:styleId="Contents3">
    <w:name w:val="Contents 3"/>
    <w:qFormat/>
    <w:rPr>
      <w:rFonts w:ascii="XO Thames" w:hAnsi="XO Thames"/>
      <w:color w:val="000000"/>
      <w:sz w:val="28"/>
    </w:rPr>
  </w:style>
  <w:style w:type="character" w:styleId="Textbody">
    <w:name w:val="Text body"/>
    <w:qFormat/>
    <w:rPr/>
  </w:style>
  <w:style w:type="character" w:styleId="9">
    <w:name w:val="Оглавление 9 Знак"/>
    <w:link w:val="91"/>
    <w:qFormat/>
    <w:rPr>
      <w:rFonts w:ascii="XO Thames" w:hAnsi="XO Thames"/>
      <w:sz w:val="28"/>
    </w:rPr>
  </w:style>
  <w:style w:type="character" w:styleId="Header1">
    <w:name w:val="Header1"/>
    <w:qFormat/>
    <w:rPr/>
  </w:style>
  <w:style w:type="character" w:styleId="12">
    <w:name w:val="Основной шрифт абзаца1"/>
    <w:link w:val="116"/>
    <w:qFormat/>
    <w:rPr>
      <w:rFonts w:ascii="Calibri" w:hAnsi="Calibri" w:asciiTheme="minorAscii" w:hAnsiTheme="minorHAnsi"/>
      <w:color w:val="000000"/>
      <w:sz w:val="22"/>
    </w:rPr>
  </w:style>
  <w:style w:type="character" w:styleId="Heading51">
    <w:name w:val="Heading 51"/>
    <w:qFormat/>
    <w:rPr>
      <w:rFonts w:ascii="XO Thames" w:hAnsi="XO Thames"/>
      <w:b/>
      <w:color w:val="000000"/>
      <w:sz w:val="22"/>
    </w:rPr>
  </w:style>
  <w:style w:type="character" w:styleId="Heading11">
    <w:name w:val="Heading 11"/>
    <w:qFormat/>
    <w:rPr>
      <w:rFonts w:ascii="XO Thames" w:hAnsi="XO Thames"/>
      <w:b/>
      <w:color w:val="000000"/>
      <w:sz w:val="32"/>
    </w:rPr>
  </w:style>
  <w:style w:type="character" w:styleId="Style14">
    <w:name w:val="Заголовок Знак"/>
    <w:link w:val="117"/>
    <w:qFormat/>
    <w:rPr>
      <w:rFonts w:ascii="XO Thames" w:hAnsi="XO Thames"/>
      <w:b/>
      <w:caps/>
      <w:sz w:val="40"/>
    </w:rPr>
  </w:style>
  <w:style w:type="character" w:styleId="Hyperlink">
    <w:name w:val="Hyperlink"/>
    <w:basedOn w:val="DefaultParagraphFont"/>
    <w:rPr>
      <w:color w:themeColor="hyperlink" w:val="0563C1"/>
      <w:u w:val="single"/>
    </w:rPr>
  </w:style>
  <w:style w:type="character" w:styleId="Footnote">
    <w:name w:val="Footnote"/>
    <w:link w:val="Footnote2"/>
    <w:qFormat/>
    <w:rPr>
      <w:rFonts w:ascii="XO Thames" w:hAnsi="XO Thames"/>
      <w:sz w:val="22"/>
    </w:rPr>
  </w:style>
  <w:style w:type="character" w:styleId="13">
    <w:name w:val="Обычный1"/>
    <w:link w:val="118"/>
    <w:qFormat/>
    <w:rPr/>
  </w:style>
  <w:style w:type="character" w:styleId="Contents1">
    <w:name w:val="Contents 1"/>
    <w:qFormat/>
    <w:rPr>
      <w:rFonts w:ascii="XO Thames" w:hAnsi="XO Thames"/>
      <w:b/>
      <w:color w:val="000000"/>
      <w:sz w:val="28"/>
    </w:rPr>
  </w:style>
  <w:style w:type="character" w:styleId="HeaderandFooter">
    <w:name w:val="Header and Footer"/>
    <w:link w:val="HeaderandFooter2"/>
    <w:qFormat/>
    <w:rPr>
      <w:rFonts w:ascii="XO Thames" w:hAnsi="XO Thames"/>
      <w:sz w:val="20"/>
    </w:rPr>
  </w:style>
  <w:style w:type="character" w:styleId="DefaultParagraphFont">
    <w:name w:val="Default Paragraph Font"/>
    <w:link w:val="DefaultParagraphFont1"/>
    <w:qFormat/>
    <w:rPr/>
  </w:style>
  <w:style w:type="character" w:styleId="Style15">
    <w:name w:val="Колонтитул"/>
    <w:link w:val="119"/>
    <w:qFormat/>
    <w:rPr>
      <w:rFonts w:ascii="XO Thames" w:hAnsi="XO Thames"/>
      <w:color w:val="000000"/>
      <w:sz w:val="20"/>
    </w:rPr>
  </w:style>
  <w:style w:type="character" w:styleId="51">
    <w:name w:val="Оглавление 5 Знак"/>
    <w:link w:val="512"/>
    <w:qFormat/>
    <w:rPr>
      <w:rFonts w:ascii="XO Thames" w:hAnsi="XO Thames"/>
      <w:sz w:val="28"/>
    </w:rPr>
  </w:style>
  <w:style w:type="character" w:styleId="14">
    <w:name w:val="Заголовок 1 Знак"/>
    <w:link w:val="1110"/>
    <w:qFormat/>
    <w:rPr>
      <w:rFonts w:ascii="XO Thames" w:hAnsi="XO Thames"/>
      <w:b/>
      <w:sz w:val="32"/>
    </w:rPr>
  </w:style>
  <w:style w:type="character" w:styleId="Contents9">
    <w:name w:val="Contents 9"/>
    <w:qFormat/>
    <w:rPr>
      <w:rFonts w:ascii="XO Thames" w:hAnsi="XO Thames"/>
      <w:color w:val="000000"/>
      <w:sz w:val="28"/>
    </w:rPr>
  </w:style>
  <w:style w:type="character" w:styleId="ConsPlusNormal">
    <w:name w:val="ConsPlusNormal"/>
    <w:link w:val="ConsPlusNormal1"/>
    <w:qFormat/>
    <w:rPr>
      <w:rFonts w:ascii="Calibri" w:hAnsi="Calibri"/>
      <w:color w:val="000000"/>
      <w:sz w:val="22"/>
    </w:rPr>
  </w:style>
  <w:style w:type="character" w:styleId="ConsPlusTitle">
    <w:name w:val="ConsPlusTitle"/>
    <w:link w:val="ConsPlusTitle1"/>
    <w:qFormat/>
    <w:rPr>
      <w:rFonts w:ascii="Arial" w:hAnsi="Arial"/>
      <w:b/>
      <w:i w:val="false"/>
      <w:strike w:val="false"/>
      <w:dstrike w:val="false"/>
      <w:color w:val="000000"/>
      <w:sz w:val="24"/>
      <w:u w:val="none"/>
    </w:rPr>
  </w:style>
  <w:style w:type="character" w:styleId="Contents8">
    <w:name w:val="Contents 8"/>
    <w:qFormat/>
    <w:rPr>
      <w:rFonts w:ascii="XO Thames" w:hAnsi="XO Thames"/>
      <w:color w:val="000000"/>
      <w:sz w:val="28"/>
    </w:rPr>
  </w:style>
  <w:style w:type="character" w:styleId="41">
    <w:name w:val="Оглавление 4 Знак"/>
    <w:link w:val="412"/>
    <w:qFormat/>
    <w:rPr>
      <w:rFonts w:ascii="XO Thames" w:hAnsi="XO Thames"/>
      <w:sz w:val="28"/>
    </w:rPr>
  </w:style>
  <w:style w:type="character" w:styleId="Caption1">
    <w:name w:val="Caption1"/>
    <w:qFormat/>
    <w:rPr>
      <w:i/>
      <w:sz w:val="24"/>
    </w:rPr>
  </w:style>
  <w:style w:type="character" w:styleId="Contents5">
    <w:name w:val="Contents 5"/>
    <w:qFormat/>
    <w:rPr>
      <w:rFonts w:ascii="XO Thames" w:hAnsi="XO Thames"/>
      <w:color w:val="000000"/>
      <w:sz w:val="28"/>
    </w:rPr>
  </w:style>
  <w:style w:type="character" w:styleId="6">
    <w:name w:val="Оглавление 6 Знак"/>
    <w:link w:val="61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color w:val="000000"/>
      <w:sz w:val="24"/>
    </w:rPr>
  </w:style>
  <w:style w:type="character" w:styleId="Title1">
    <w:name w:val="Title1"/>
    <w:qFormat/>
    <w:rPr>
      <w:rFonts w:ascii="XO Thames" w:hAnsi="XO Thames"/>
      <w:b/>
      <w:caps/>
      <w:color w:val="000000"/>
      <w:sz w:val="40"/>
    </w:rPr>
  </w:style>
  <w:style w:type="character" w:styleId="Heading41">
    <w:name w:val="Heading 41"/>
    <w:qFormat/>
    <w:rPr>
      <w:rFonts w:ascii="XO Thames" w:hAnsi="XO Thames"/>
      <w:b/>
      <w:color w:val="000000"/>
      <w:sz w:val="24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Style16">
    <w:name w:val="Нижний колонтитул Знак"/>
    <w:basedOn w:val="13"/>
    <w:link w:val="120"/>
    <w:qFormat/>
    <w:rPr>
      <w:rFonts w:ascii="Times New Roman" w:hAnsi="Times New Roman"/>
      <w:sz w:val="28"/>
    </w:rPr>
  </w:style>
  <w:style w:type="character" w:styleId="Heading21">
    <w:name w:val="Heading 21"/>
    <w:qFormat/>
    <w:rPr>
      <w:rFonts w:ascii="XO Thames" w:hAnsi="XO Thames"/>
      <w:b/>
      <w:color w:val="000000"/>
      <w:sz w:val="28"/>
    </w:rPr>
  </w:style>
  <w:style w:type="character" w:styleId="PlainText">
    <w:name w:val="Plain Text"/>
    <w:link w:val="PlainText1"/>
    <w:qFormat/>
    <w:rPr>
      <w:rFonts w:ascii="Calibri" w:hAnsi="Calibri"/>
    </w:rPr>
  </w:style>
  <w:style w:type="character" w:styleId="31">
    <w:name w:val="Оглавление 3 Знак"/>
    <w:link w:val="312"/>
    <w:qFormat/>
    <w:rPr>
      <w:rFonts w:ascii="XO Thames" w:hAnsi="XO Thames"/>
      <w:sz w:val="28"/>
    </w:rPr>
  </w:style>
  <w:style w:type="character" w:styleId="Style17">
    <w:name w:val="Указатель"/>
    <w:link w:val="1112"/>
    <w:qFormat/>
    <w:rPr/>
  </w:style>
  <w:style w:type="paragraph" w:styleId="15">
    <w:name w:val="Заголовок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6">
    <w:name w:val="Указатель1"/>
    <w:basedOn w:val="Normal"/>
    <w:qFormat/>
    <w:pPr>
      <w:suppressLineNumbers/>
    </w:pPr>
    <w:rPr>
      <w:rFonts w:cs="Lucida Sans"/>
    </w:rPr>
  </w:style>
  <w:style w:type="paragraph" w:styleId="111">
    <w:name w:val="Заголовок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2">
    <w:name w:val="Указатель11"/>
    <w:basedOn w:val="Normal"/>
    <w:qFormat/>
    <w:pPr>
      <w:suppressLineNumbers/>
    </w:pPr>
    <w:rPr>
      <w:rFonts w:cs="Lucida Sans"/>
    </w:rPr>
  </w:style>
  <w:style w:type="paragraph" w:styleId="1111">
    <w:name w:val="Заголовок111"/>
    <w:basedOn w:val="Normal"/>
    <w:next w:val="BodyText"/>
    <w:link w:val="Style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2">
    <w:name w:val="Указатель111"/>
    <w:basedOn w:val="Normal"/>
    <w:link w:val="Style17"/>
    <w:qFormat/>
    <w:pPr/>
    <w:rPr/>
  </w:style>
  <w:style w:type="paragraph" w:styleId="17">
    <w:name w:val="Содержимое таблицы1"/>
    <w:basedOn w:val="Normal"/>
    <w:link w:val="Style9"/>
    <w:qFormat/>
    <w:pPr>
      <w:widowControl w:val="false"/>
    </w:pPr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11">
    <w:name w:val="Заголовок 3 Знак1"/>
    <w:link w:val="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ConsPlusNonformat1">
    <w:name w:val="ConsPlusNonformat1"/>
    <w:link w:val="ConsPlusNonformat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ourier New" w:hAnsi="Courier New" w:eastAsia="NSimSun" w:cs="Lucida Sans"/>
      <w:b w:val="false"/>
      <w:i w:val="false"/>
      <w:strike w:val="false"/>
      <w:dstrike w:val="false"/>
      <w:color w:val="000000"/>
      <w:spacing w:val="0"/>
      <w:kern w:val="0"/>
      <w:sz w:val="20"/>
      <w:szCs w:val="20"/>
      <w:u w:val="none"/>
      <w:lang w:val="ru-RU" w:eastAsia="zh-CN" w:bidi="hi-IN"/>
    </w:rPr>
  </w:style>
  <w:style w:type="paragraph" w:styleId="18">
    <w:name w:val="Подзаголовок Знак1"/>
    <w:link w:val="Style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9">
    <w:name w:val="Верхний колонтитул Знак1"/>
    <w:basedOn w:val="118"/>
    <w:link w:val="Style11"/>
    <w:qFormat/>
    <w:pPr/>
    <w:rPr/>
  </w:style>
  <w:style w:type="paragraph" w:styleId="Endnote1">
    <w:name w:val="Endnote1"/>
    <w:link w:val="End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HeaderandFooter11">
    <w:name w:val="Header and Footer11"/>
    <w:basedOn w:val="Normal"/>
    <w:link w:val="HeaderandFooter1"/>
    <w:qFormat/>
    <w:pPr/>
    <w:rPr/>
  </w:style>
  <w:style w:type="paragraph" w:styleId="Footnote11">
    <w:name w:val="Footnote11"/>
    <w:link w:val="Footnote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81">
    <w:name w:val="Оглавление 8 Знак1"/>
    <w:link w:val="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3">
    <w:name w:val="Оглавление 1 Знак1"/>
    <w:link w:val="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14">
    <w:name w:val="Гиперссылка11"/>
    <w:basedOn w:val="116"/>
    <w:link w:val="11"/>
    <w:qFormat/>
    <w:pPr/>
    <w:rPr>
      <w:color w:themeColor="hyperlink" w:val="0563C1"/>
      <w:u w:val="single"/>
    </w:rPr>
  </w:style>
  <w:style w:type="paragraph" w:styleId="211">
    <w:name w:val="Оглавление 2 Знак1"/>
    <w:link w:val="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12">
    <w:name w:val="Заголовок 2 Знак1"/>
    <w:link w:val="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411">
    <w:name w:val="Заголовок 4 Знак1"/>
    <w:link w:val="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VisitedInternetLink">
    <w:name w:val="Visited Internet 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110">
    <w:name w:val="Заголовок таблицы1"/>
    <w:basedOn w:val="17"/>
    <w:link w:val="Style13"/>
    <w:qFormat/>
    <w:pPr>
      <w:jc w:val="center"/>
    </w:pPr>
    <w:rPr>
      <w:b/>
    </w:rPr>
  </w:style>
  <w:style w:type="paragraph" w:styleId="HeaderandFooter2">
    <w:name w:val="Header and Footer2"/>
    <w:link w:val="Style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5">
    <w:name w:val="Колонтитул1"/>
    <w:basedOn w:val="Normal"/>
    <w:qFormat/>
    <w:pPr/>
    <w:rPr/>
  </w:style>
  <w:style w:type="paragraph" w:styleId="HeaderandFooter3">
    <w:name w:val="Header and Footer3"/>
    <w:basedOn w:val="Normal"/>
    <w:qFormat/>
    <w:pPr/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511">
    <w:name w:val="Заголовок 5 Знак1"/>
    <w:link w:val="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71">
    <w:name w:val="Оглавление 7 Знак1"/>
    <w:link w:val="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91">
    <w:name w:val="Оглавление 9 Знак1"/>
    <w:link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16">
    <w:name w:val="Основной шрифт абзаца11"/>
    <w:link w:val="12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7">
    <w:name w:val="Заголовок Знак1"/>
    <w:link w:val="Style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Internetlink">
    <w:name w:val="Internet link"/>
    <w:basedOn w:val="DefaultParagraphFont1"/>
    <w:qFormat/>
    <w:pPr/>
    <w:rPr>
      <w:color w:themeColor="hyperlink" w:val="0563C1"/>
      <w:u w:val="single"/>
    </w:rPr>
  </w:style>
  <w:style w:type="paragraph" w:styleId="Footnote2">
    <w:name w:val="Footnote2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8">
    <w:name w:val="Обычный11"/>
    <w:link w:val="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9">
    <w:name w:val="Колонтитул11"/>
    <w:link w:val="Style15"/>
    <w:qFormat/>
    <w:pPr>
      <w:widowControl/>
      <w:suppressAutoHyphens w:val="true"/>
      <w:bidi w:val="0"/>
      <w:spacing w:lineRule="auto" w:line="240" w:before="0" w:after="160"/>
      <w:ind w:hanging="0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512">
    <w:name w:val="Оглавление 5 Знак1"/>
    <w:link w:val="5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0">
    <w:name w:val="Заголовок 1 Знак1"/>
    <w:link w:val="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Normal1">
    <w:name w:val="ConsPlusNormal1"/>
    <w:link w:val="ConsPlusNormal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sPlusTitle1">
    <w:name w:val="ConsPlusTitle1"/>
    <w:link w:val="ConsPlusTitle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/>
      <w:b/>
      <w:i w:val="false"/>
      <w:strike w:val="false"/>
      <w:dstrike w:val="false"/>
      <w:color w:val="000000"/>
      <w:spacing w:val="0"/>
      <w:kern w:val="0"/>
      <w:sz w:val="24"/>
      <w:szCs w:val="20"/>
      <w:u w:val="none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12">
    <w:name w:val="Оглавление 4 Знак1"/>
    <w:link w:val="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1">
    <w:name w:val="Оглавление 6 Знак1"/>
    <w:link w:val="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64" w:before="0" w:after="160"/>
      <w:ind w:hanging="0" w:left="0" w:right="0"/>
      <w:jc w:val="both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64" w:before="567" w:after="567"/>
      <w:ind w:hanging="0" w:left="0" w:right="0"/>
      <w:jc w:val="center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BalloonText1">
    <w:name w:val="Balloon Text1"/>
    <w:basedOn w:val="Normal"/>
    <w:link w:val="BalloonText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120">
    <w:name w:val="Нижний колонтитул Знак1"/>
    <w:basedOn w:val="118"/>
    <w:link w:val="Style16"/>
    <w:qFormat/>
    <w:pPr/>
    <w:rPr>
      <w:rFonts w:ascii="Times New Roman" w:hAnsi="Times New Roman"/>
      <w:sz w:val="28"/>
    </w:rPr>
  </w:style>
  <w:style w:type="paragraph" w:styleId="PlainText1">
    <w:name w:val="Plain Text1"/>
    <w:basedOn w:val="Normal"/>
    <w:link w:val="PlainText"/>
    <w:qFormat/>
    <w:pPr>
      <w:spacing w:lineRule="auto" w:line="240" w:before="0" w:after="0"/>
    </w:pPr>
    <w:rPr>
      <w:rFonts w:ascii="Calibri" w:hAnsi="Calibri"/>
    </w:rPr>
  </w:style>
  <w:style w:type="paragraph" w:styleId="312">
    <w:name w:val="Оглавление 3 Знак1"/>
    <w:link w:val="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table" w:default="1" w:styleId="Style_6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63">
    <w:name w:val="Table Grid"/>
    <w:basedOn w:val="Style_62"/>
    <w:pPr>
      <w:spacing w:after="0" w:line="240" w:lineRule="auto"/>
    </w:p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64">
    <w:name w:val="Сетка таблицы1"/>
    <w:basedOn w:val="Style_62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65">
    <w:name w:val="Сетка таблицы2"/>
    <w:basedOn w:val="Style_62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LibreOffice/24.2.7.2$Windows_X86_64 LibreOffice_project/ee3885777aa7032db5a9b65deec9457448a91162</Application>
  <AppVersion>15.0000</AppVersion>
  <Pages>4</Pages>
  <Words>1061</Words>
  <Characters>7867</Characters>
  <CharactersWithSpaces>8916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2025-05-30T11:46:07Z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